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Изменения трудового законодательства при применении дисциплинарной ответственности к работникам.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Федеральный закон от 07.06.2025 № 144-ФЗ «О внесении изменений в Трудовой кодекс Российской Федерации».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Трудовой кодекс Российской Федерации внесены изменения, позволяющие работодателям снижать размеры премий работникам с дисциплинарными взысканиями.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Статья 135 ТК РФ дополнена положением, предусматривающим, что при установлении систем премирования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права, будут определяться виды премий, их размеры, сроки, основания, а также условия их выплаты работникам, в том числе с учетом качества, эффективности и продолжительности работы, наличия или отсутствия дисциплинарного взыскания и др.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этом в локальном нормативном акте, устанавливающем систему премирования, работодатель с учетом мнения выборного органа первичной профсоюзной организации вправе предусмотреть условие о том, что снижение размера премии работнику в связи с применением к нему дисциплинарного взыскания осуществляется в отношении только тех входящих в состав его заработной платы премий, которые начисляются за период, в котором к работнику было применено соответствующее дисциплинарное взыскание. Размер такого снижения премии не может приводить к уменьшению размера месячной заработной платы более чем на 20 процентов.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Изменения вступили в силу 1 сентября 2025 года.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2025-11-21T06:42:46Z</dcterms:modified>
</cp:coreProperties>
</file>